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11B" w:rsidRDefault="0033111B">
      <w:pPr>
        <w:pStyle w:val="BodyText"/>
        <w:jc w:val="right"/>
      </w:pPr>
      <w:r>
        <w:t>3140</w:t>
      </w:r>
    </w:p>
    <w:p w:rsidR="0033111B" w:rsidRDefault="0033111B">
      <w:pPr>
        <w:pStyle w:val="BodyText"/>
        <w:jc w:val="right"/>
      </w:pPr>
      <w:r>
        <w:t>Page 1 of 2</w:t>
      </w:r>
    </w:p>
    <w:p w:rsidR="0033111B" w:rsidRDefault="0033111B">
      <w:pPr>
        <w:pStyle w:val="BodyText"/>
        <w:jc w:val="both"/>
      </w:pPr>
    </w:p>
    <w:p w:rsidR="0033111B" w:rsidRDefault="0033111B">
      <w:pPr>
        <w:pStyle w:val="BodyText"/>
        <w:jc w:val="both"/>
        <w:rPr>
          <w:u w:val="single"/>
        </w:rPr>
      </w:pPr>
      <w:r>
        <w:rPr>
          <w:u w:val="single"/>
        </w:rPr>
        <w:t>STUDENTS</w:t>
      </w:r>
    </w:p>
    <w:p w:rsidR="0033111B" w:rsidRDefault="0033111B">
      <w:pPr>
        <w:pStyle w:val="BodyText"/>
        <w:jc w:val="both"/>
        <w:rPr>
          <w:u w:val="single"/>
        </w:rPr>
      </w:pPr>
    </w:p>
    <w:p w:rsidR="0033111B" w:rsidRDefault="0033111B">
      <w:pPr>
        <w:pStyle w:val="BodyText"/>
        <w:jc w:val="both"/>
      </w:pPr>
      <w:r>
        <w:rPr>
          <w:u w:val="single"/>
        </w:rPr>
        <w:t>Release of Resident Students</w:t>
      </w:r>
    </w:p>
    <w:p w:rsidR="0033111B" w:rsidRDefault="0033111B">
      <w:pPr>
        <w:pStyle w:val="BodyText"/>
        <w:jc w:val="both"/>
      </w:pPr>
    </w:p>
    <w:p w:rsidR="0033111B" w:rsidRDefault="0033111B">
      <w:pPr>
        <w:pStyle w:val="BodyText"/>
        <w:jc w:val="both"/>
      </w:pPr>
      <w:r>
        <w:t>A student who resides within the boundaries of the District shall be released to (1) attend another school district, or (2) enroll for ancillary services, if any, in another district as specified in the parental declaration of intent to provide home-based instruction, provided the other district agrees to accept the student if:</w:t>
      </w:r>
    </w:p>
    <w:p w:rsidR="0033111B" w:rsidRDefault="0033111B">
      <w:pPr>
        <w:pStyle w:val="BodyText"/>
        <w:jc w:val="both"/>
        <w:rPr>
          <w:b/>
        </w:rPr>
      </w:pPr>
    </w:p>
    <w:p w:rsidR="0033111B" w:rsidRDefault="0033111B" w:rsidP="000F0630">
      <w:pPr>
        <w:pStyle w:val="BodyText"/>
        <w:numPr>
          <w:ilvl w:val="0"/>
          <w:numId w:val="1"/>
        </w:numPr>
        <w:tabs>
          <w:tab w:val="clear" w:pos="720"/>
          <w:tab w:val="num" w:pos="2880"/>
        </w:tabs>
        <w:ind w:left="1080" w:hanging="630"/>
        <w:jc w:val="both"/>
      </w:pPr>
      <w:r>
        <w:t xml:space="preserve">A financial, educational, safety, or health condition affecting the student would be reasonably improved as a result of the transfer; or </w:t>
      </w:r>
    </w:p>
    <w:p w:rsidR="0033111B" w:rsidRDefault="0033111B" w:rsidP="000F0630">
      <w:pPr>
        <w:pStyle w:val="BodyText"/>
        <w:ind w:left="1080" w:hanging="630"/>
        <w:jc w:val="both"/>
        <w:rPr>
          <w:strike/>
        </w:rPr>
      </w:pPr>
    </w:p>
    <w:p w:rsidR="0033111B" w:rsidRDefault="0033111B" w:rsidP="000F0630">
      <w:pPr>
        <w:pStyle w:val="BodyText"/>
        <w:numPr>
          <w:ilvl w:val="0"/>
          <w:numId w:val="1"/>
        </w:numPr>
        <w:tabs>
          <w:tab w:val="clear" w:pos="720"/>
          <w:tab w:val="num" w:pos="2160"/>
        </w:tabs>
        <w:ind w:left="1080" w:hanging="630"/>
        <w:jc w:val="both"/>
      </w:pPr>
      <w:r>
        <w:t>Attendance at the school in the nonresident district is more accessible to the parent’s place of work or to the location of child care; or</w:t>
      </w:r>
    </w:p>
    <w:p w:rsidR="0033111B" w:rsidRDefault="0033111B" w:rsidP="000F0630">
      <w:pPr>
        <w:pStyle w:val="BodyText"/>
        <w:ind w:left="1080" w:hanging="630"/>
        <w:jc w:val="both"/>
        <w:rPr>
          <w:b/>
        </w:rPr>
      </w:pPr>
    </w:p>
    <w:p w:rsidR="0033111B" w:rsidRDefault="0033111B" w:rsidP="000F0630">
      <w:pPr>
        <w:pStyle w:val="BodyText"/>
        <w:numPr>
          <w:ilvl w:val="0"/>
          <w:numId w:val="1"/>
        </w:numPr>
        <w:tabs>
          <w:tab w:val="clear" w:pos="720"/>
          <w:tab w:val="num" w:pos="2880"/>
        </w:tabs>
        <w:ind w:left="1080" w:hanging="630"/>
        <w:jc w:val="both"/>
      </w:pPr>
      <w:r>
        <w:t xml:space="preserve">There is some other special hardship or detrimental condition affecting the student or the student’s immediate family, which would be alleviated as a result of the transfer.  </w:t>
      </w:r>
      <w:r w:rsidR="00AF494B">
        <w:t>S</w:t>
      </w:r>
      <w:r>
        <w:t>pecial hardship or detrimental condition</w:t>
      </w:r>
      <w:r w:rsidR="00AF494B">
        <w:t>s include</w:t>
      </w:r>
      <w:r w:rsidR="00BC2779">
        <w:t xml:space="preserve"> </w:t>
      </w:r>
      <w:r>
        <w:t>a student who becomes a resident of the District in mid-year</w:t>
      </w:r>
      <w:r w:rsidR="00AF494B">
        <w:t>.  Such a student</w:t>
      </w:r>
      <w:r>
        <w:t xml:space="preserve"> may apply for a release to complete the current school year only in his or her former district of residence</w:t>
      </w:r>
      <w:r w:rsidR="00AF494B">
        <w:t xml:space="preserve"> if transferring midyear would create a special hardship or detrimental condition</w:t>
      </w:r>
      <w:r>
        <w:t>; or</w:t>
      </w:r>
    </w:p>
    <w:p w:rsidR="0033111B" w:rsidRDefault="0033111B" w:rsidP="000F0630">
      <w:pPr>
        <w:pStyle w:val="BodyText"/>
        <w:ind w:left="1080" w:hanging="630"/>
        <w:jc w:val="both"/>
        <w:rPr>
          <w:b/>
        </w:rPr>
      </w:pPr>
    </w:p>
    <w:p w:rsidR="0033111B" w:rsidRDefault="0033111B" w:rsidP="000F0630">
      <w:pPr>
        <w:pStyle w:val="BodyText"/>
        <w:numPr>
          <w:ilvl w:val="0"/>
          <w:numId w:val="1"/>
        </w:numPr>
        <w:tabs>
          <w:tab w:val="clear" w:pos="720"/>
          <w:tab w:val="num" w:pos="2160"/>
        </w:tabs>
        <w:ind w:left="1080" w:hanging="630"/>
        <w:jc w:val="both"/>
      </w:pPr>
      <w:r>
        <w:t>The student is a child of a full-time school employee of another Washington public school district.</w:t>
      </w:r>
    </w:p>
    <w:p w:rsidR="0033111B" w:rsidRDefault="0033111B">
      <w:pPr>
        <w:pStyle w:val="BodyText"/>
        <w:jc w:val="both"/>
      </w:pPr>
    </w:p>
    <w:p w:rsidR="0033111B" w:rsidRDefault="0033111B">
      <w:pPr>
        <w:pStyle w:val="BodyText"/>
        <w:jc w:val="both"/>
      </w:pPr>
      <w:r>
        <w:t>When a resident student is released, the student or the student’s parents shall be</w:t>
      </w:r>
      <w:r>
        <w:rPr>
          <w:b/>
        </w:rPr>
        <w:t xml:space="preserve"> </w:t>
      </w:r>
      <w:r>
        <w:t>solely responsible for transportation, except that the students may ride on an established District bus route if the superintendent determines that the District</w:t>
      </w:r>
      <w:r>
        <w:rPr>
          <w:b/>
        </w:rPr>
        <w:t xml:space="preserve"> </w:t>
      </w:r>
      <w:r>
        <w:t>would incur no additional cost.</w:t>
      </w:r>
    </w:p>
    <w:p w:rsidR="0033111B" w:rsidRDefault="0033111B">
      <w:pPr>
        <w:pStyle w:val="BodyText"/>
        <w:jc w:val="both"/>
      </w:pPr>
    </w:p>
    <w:p w:rsidR="0033111B" w:rsidRDefault="0033111B">
      <w:pPr>
        <w:pStyle w:val="BodyText"/>
        <w:jc w:val="both"/>
        <w:rPr>
          <w:strike/>
        </w:rPr>
      </w:pPr>
      <w:r>
        <w:t xml:space="preserve">The parent or guardian shall request the release of his/her child by completing the </w:t>
      </w:r>
      <w:r w:rsidR="00AF494B">
        <w:t xml:space="preserve">appropriate </w:t>
      </w:r>
      <w:r w:rsidR="00541BDB">
        <w:t>transfer request</w:t>
      </w:r>
      <w:r w:rsidR="00AF494B">
        <w:t xml:space="preserve"> form </w:t>
      </w:r>
      <w:r>
        <w:t>including the basis for the request and the signature of the superintendent, or his or her designee, of the school district</w:t>
      </w:r>
      <w:r>
        <w:rPr>
          <w:bCs/>
        </w:rPr>
        <w:t xml:space="preserve"> that </w:t>
      </w:r>
      <w:r>
        <w:t xml:space="preserve">the student will attend. </w:t>
      </w:r>
    </w:p>
    <w:p w:rsidR="0033111B" w:rsidRDefault="0033111B">
      <w:pPr>
        <w:pStyle w:val="BodyText"/>
        <w:jc w:val="both"/>
        <w:rPr>
          <w:strike/>
        </w:rPr>
      </w:pPr>
    </w:p>
    <w:p w:rsidR="0033111B" w:rsidRDefault="0033111B">
      <w:pPr>
        <w:pStyle w:val="BodyText"/>
        <w:jc w:val="both"/>
      </w:pPr>
      <w:r>
        <w:t>The superintendent shall grant or deny the request for release according to the above-stated criteria, and promptly notify the parent in writing of his/her decision.</w:t>
      </w:r>
    </w:p>
    <w:p w:rsidR="0033111B" w:rsidRDefault="0033111B">
      <w:pPr>
        <w:pStyle w:val="BodyText"/>
        <w:jc w:val="both"/>
      </w:pPr>
    </w:p>
    <w:p w:rsidR="0033111B" w:rsidRDefault="0033111B">
      <w:pPr>
        <w:pStyle w:val="BodyText"/>
        <w:jc w:val="both"/>
      </w:pPr>
      <w:r>
        <w:t xml:space="preserve">If the request is granted, the superintendent shall notify the nonresident district and make necessary arrangements for the transfer of student records. </w:t>
      </w:r>
    </w:p>
    <w:p w:rsidR="00BC2779" w:rsidRDefault="00BC2779">
      <w:pPr>
        <w:rPr>
          <w:strike/>
        </w:rPr>
      </w:pPr>
      <w:r>
        <w:rPr>
          <w:strike/>
        </w:rPr>
        <w:br w:type="page"/>
      </w:r>
    </w:p>
    <w:p w:rsidR="00BC2779" w:rsidRDefault="00BC2779" w:rsidP="00BC2779">
      <w:pPr>
        <w:pStyle w:val="BodyText"/>
        <w:jc w:val="right"/>
      </w:pPr>
      <w:r>
        <w:lastRenderedPageBreak/>
        <w:t>3140</w:t>
      </w:r>
    </w:p>
    <w:p w:rsidR="00BC2779" w:rsidRDefault="00BC2779" w:rsidP="00BC2779">
      <w:pPr>
        <w:pStyle w:val="BodyText"/>
        <w:jc w:val="right"/>
      </w:pPr>
      <w:r>
        <w:t>Page 2 of 2</w:t>
      </w:r>
    </w:p>
    <w:p w:rsidR="0033111B" w:rsidRDefault="0033111B">
      <w:pPr>
        <w:pStyle w:val="BodyText"/>
        <w:jc w:val="both"/>
        <w:rPr>
          <w:strike/>
        </w:rPr>
      </w:pPr>
    </w:p>
    <w:p w:rsidR="00BC2779" w:rsidRDefault="00BC2779">
      <w:pPr>
        <w:pStyle w:val="BodyText"/>
        <w:jc w:val="both"/>
        <w:rPr>
          <w:strike/>
        </w:rPr>
      </w:pPr>
    </w:p>
    <w:p w:rsidR="0033111B" w:rsidRDefault="0033111B">
      <w:pPr>
        <w:pStyle w:val="BodyText"/>
        <w:jc w:val="both"/>
      </w:pPr>
      <w:r>
        <w:t xml:space="preserve">If the request is denied, the superintendent shall notify the parent of his/her right to petition the Board, upon five school business </w:t>
      </w:r>
      <w:proofErr w:type="gramStart"/>
      <w:r>
        <w:t>days</w:t>
      </w:r>
      <w:proofErr w:type="gramEnd"/>
      <w:r>
        <w:t xml:space="preserve"> prior notice, for review of the decision and to have</w:t>
      </w:r>
      <w:r>
        <w:rPr>
          <w:b/>
        </w:rPr>
        <w:t xml:space="preserve"> </w:t>
      </w:r>
      <w:r>
        <w:t>a hearing with the Board at its next regular scheduled meeting. Following the hearing by the Board, a final decision shall be promptly communicated to the parent in writing.</w:t>
      </w:r>
    </w:p>
    <w:p w:rsidR="0033111B" w:rsidRDefault="0033111B">
      <w:pPr>
        <w:pStyle w:val="BodyText"/>
        <w:jc w:val="both"/>
      </w:pPr>
    </w:p>
    <w:p w:rsidR="0033111B" w:rsidRDefault="0033111B">
      <w:pPr>
        <w:pStyle w:val="BodyText"/>
        <w:jc w:val="both"/>
      </w:pPr>
      <w:r>
        <w:t xml:space="preserve">If the request is denied by the Board, the written decision shall inform the parent or guardian of the right to appeal such decision to the State Superintendent of Public Instruction. </w:t>
      </w:r>
    </w:p>
    <w:p w:rsidR="0033111B" w:rsidRDefault="0033111B">
      <w:pPr>
        <w:pStyle w:val="BodyText"/>
        <w:jc w:val="both"/>
      </w:pPr>
    </w:p>
    <w:p w:rsidR="0033111B" w:rsidRDefault="00AF494B">
      <w:pPr>
        <w:pStyle w:val="BodyText"/>
        <w:jc w:val="both"/>
      </w:pPr>
      <w:r>
        <w:t xml:space="preserve">Each school district board of directors annually will inform parents of the district’s </w:t>
      </w:r>
      <w:proofErr w:type="spellStart"/>
      <w:r>
        <w:t>interdistrict</w:t>
      </w:r>
      <w:proofErr w:type="spellEnd"/>
      <w:r>
        <w:t xml:space="preserve"> enrollment options. Information on </w:t>
      </w:r>
      <w:proofErr w:type="spellStart"/>
      <w:r>
        <w:t>interdistrict</w:t>
      </w:r>
      <w:proofErr w:type="spellEnd"/>
      <w:r>
        <w:t xml:space="preserve"> acceptance policies will be provided to nonresidents upon request.  Providing online access to the information satisfies the requirements of this policy unless a parent or guardian </w:t>
      </w:r>
      <w:r w:rsidR="00721DD7">
        <w:t>specifically</w:t>
      </w:r>
      <w:r>
        <w:t xml:space="preserve"> requests information to be provided in written form.</w:t>
      </w:r>
    </w:p>
    <w:p w:rsidR="0033111B" w:rsidRDefault="0033111B">
      <w:pPr>
        <w:pStyle w:val="BodyText"/>
        <w:jc w:val="both"/>
      </w:pPr>
    </w:p>
    <w:p w:rsidR="0033111B" w:rsidRDefault="0033111B">
      <w:pPr>
        <w:pStyle w:val="BodyText"/>
        <w:jc w:val="both"/>
      </w:pPr>
    </w:p>
    <w:p w:rsidR="0033111B" w:rsidRDefault="0033111B">
      <w:pPr>
        <w:pStyle w:val="BodyText"/>
        <w:jc w:val="both"/>
      </w:pPr>
    </w:p>
    <w:p w:rsidR="0033111B" w:rsidRDefault="0033111B">
      <w:pPr>
        <w:pStyle w:val="BodyText"/>
        <w:jc w:val="both"/>
      </w:pPr>
    </w:p>
    <w:p w:rsidR="00BC2779" w:rsidRDefault="00BC2779">
      <w:pPr>
        <w:pStyle w:val="BodyText"/>
        <w:jc w:val="both"/>
      </w:pPr>
    </w:p>
    <w:p w:rsidR="00BC2779" w:rsidRDefault="00BC2779">
      <w:pPr>
        <w:pStyle w:val="BodyText"/>
        <w:jc w:val="both"/>
      </w:pPr>
    </w:p>
    <w:p w:rsidR="0033111B" w:rsidRDefault="0033111B">
      <w:pPr>
        <w:pStyle w:val="BodyText"/>
        <w:jc w:val="both"/>
      </w:pPr>
    </w:p>
    <w:p w:rsidR="0033111B" w:rsidRDefault="0033111B">
      <w:pPr>
        <w:pStyle w:val="BodyText"/>
        <w:jc w:val="both"/>
      </w:pPr>
      <w:bookmarkStart w:id="0" w:name="_GoBack"/>
      <w:bookmarkEnd w:id="0"/>
    </w:p>
    <w:p w:rsidR="0033111B" w:rsidRDefault="0033111B">
      <w:pPr>
        <w:pStyle w:val="BodyText"/>
        <w:jc w:val="both"/>
      </w:pPr>
    </w:p>
    <w:p w:rsidR="0033111B" w:rsidRDefault="0033111B">
      <w:pPr>
        <w:pStyle w:val="BodyText"/>
        <w:pBdr>
          <w:bottom w:val="single" w:sz="4" w:space="1" w:color="auto"/>
        </w:pBdr>
        <w:jc w:val="both"/>
        <w:rPr>
          <w:i/>
        </w:rPr>
      </w:pPr>
    </w:p>
    <w:p w:rsidR="0033111B" w:rsidRDefault="0033111B">
      <w:pPr>
        <w:pStyle w:val="BodyText"/>
        <w:jc w:val="both"/>
        <w:rPr>
          <w:b/>
          <w:sz w:val="20"/>
        </w:rPr>
      </w:pPr>
      <w:r>
        <w:rPr>
          <w:b/>
          <w:sz w:val="20"/>
        </w:rPr>
        <w:t>Legal References:</w:t>
      </w:r>
    </w:p>
    <w:p w:rsidR="0033111B" w:rsidRDefault="0033111B" w:rsidP="00723C31">
      <w:pPr>
        <w:pStyle w:val="BodyText"/>
        <w:tabs>
          <w:tab w:val="left" w:pos="1980"/>
        </w:tabs>
        <w:ind w:left="990" w:hanging="990"/>
        <w:rPr>
          <w:sz w:val="20"/>
        </w:rPr>
      </w:pPr>
      <w:r>
        <w:rPr>
          <w:sz w:val="20"/>
        </w:rPr>
        <w:t>RCW 28A.225.220</w:t>
      </w:r>
      <w:r w:rsidR="00BC2779">
        <w:rPr>
          <w:sz w:val="20"/>
        </w:rPr>
        <w:tab/>
      </w:r>
      <w:r>
        <w:rPr>
          <w:sz w:val="20"/>
        </w:rPr>
        <w:t>Adults, children from other districts, agreements for attending school</w:t>
      </w:r>
      <w:r w:rsidR="009B1896">
        <w:rPr>
          <w:sz w:val="20"/>
        </w:rPr>
        <w:t>—</w:t>
      </w:r>
      <w:r>
        <w:rPr>
          <w:sz w:val="20"/>
        </w:rPr>
        <w:t>Tuition</w:t>
      </w:r>
    </w:p>
    <w:p w:rsidR="009B1896" w:rsidRDefault="00BC2779" w:rsidP="00723C31">
      <w:pPr>
        <w:pStyle w:val="BodyText"/>
        <w:tabs>
          <w:tab w:val="left" w:pos="1980"/>
        </w:tabs>
        <w:ind w:left="990" w:hanging="990"/>
        <w:rPr>
          <w:sz w:val="20"/>
        </w:rPr>
      </w:pPr>
      <w:r>
        <w:rPr>
          <w:sz w:val="20"/>
        </w:rPr>
        <w:t>RCW 28A.225.225</w:t>
      </w:r>
      <w:r>
        <w:rPr>
          <w:sz w:val="20"/>
        </w:rPr>
        <w:tab/>
      </w:r>
      <w:r w:rsidR="0033111B">
        <w:rPr>
          <w:sz w:val="20"/>
        </w:rPr>
        <w:t>Applications from</w:t>
      </w:r>
      <w:r w:rsidR="00723C31">
        <w:rPr>
          <w:sz w:val="20"/>
        </w:rPr>
        <w:t xml:space="preserve"> nonresident students</w:t>
      </w:r>
      <w:r w:rsidR="009B1896">
        <w:rPr>
          <w:sz w:val="20"/>
        </w:rPr>
        <w:t xml:space="preserve"> or students receiving home-based instruction to attend district school—</w:t>
      </w:r>
      <w:r w:rsidR="00723C31">
        <w:rPr>
          <w:sz w:val="20"/>
        </w:rPr>
        <w:t>School employees’ children—</w:t>
      </w:r>
      <w:r w:rsidR="009B1896">
        <w:rPr>
          <w:sz w:val="20"/>
        </w:rPr>
        <w:t>Acceptance and rejection standards—Notification</w:t>
      </w:r>
    </w:p>
    <w:p w:rsidR="0033111B" w:rsidRDefault="00BC2779" w:rsidP="00723C31">
      <w:pPr>
        <w:pStyle w:val="BodyText"/>
        <w:tabs>
          <w:tab w:val="left" w:pos="1980"/>
        </w:tabs>
        <w:ind w:left="990" w:hanging="990"/>
        <w:rPr>
          <w:sz w:val="20"/>
        </w:rPr>
      </w:pPr>
      <w:r>
        <w:rPr>
          <w:sz w:val="20"/>
        </w:rPr>
        <w:t>RCW 28A.225.230</w:t>
      </w:r>
      <w:r>
        <w:rPr>
          <w:sz w:val="20"/>
        </w:rPr>
        <w:tab/>
      </w:r>
      <w:r w:rsidR="0033111B">
        <w:rPr>
          <w:sz w:val="20"/>
        </w:rPr>
        <w:t>Appeal from certain decisions to deny student's request to attend nonresident district</w:t>
      </w:r>
      <w:r w:rsidR="009B1896">
        <w:rPr>
          <w:sz w:val="20"/>
        </w:rPr>
        <w:t>—</w:t>
      </w:r>
      <w:r w:rsidR="0033111B">
        <w:rPr>
          <w:sz w:val="20"/>
        </w:rPr>
        <w:t>Procedure</w:t>
      </w:r>
    </w:p>
    <w:p w:rsidR="00723C31" w:rsidRDefault="00BC2779" w:rsidP="00723C31">
      <w:pPr>
        <w:pStyle w:val="BodyText"/>
        <w:tabs>
          <w:tab w:val="left" w:pos="1980"/>
        </w:tabs>
        <w:ind w:left="990" w:hanging="990"/>
        <w:rPr>
          <w:sz w:val="20"/>
        </w:rPr>
      </w:pPr>
      <w:r>
        <w:rPr>
          <w:sz w:val="20"/>
        </w:rPr>
        <w:t>RCW 28A.225.290</w:t>
      </w:r>
      <w:r>
        <w:rPr>
          <w:sz w:val="20"/>
        </w:rPr>
        <w:tab/>
      </w:r>
      <w:r w:rsidR="0033111B">
        <w:rPr>
          <w:sz w:val="20"/>
        </w:rPr>
        <w:t>Enrollment options information booklet</w:t>
      </w:r>
    </w:p>
    <w:p w:rsidR="0033111B" w:rsidRDefault="0033111B" w:rsidP="00723C31">
      <w:pPr>
        <w:pStyle w:val="BodyText"/>
        <w:tabs>
          <w:tab w:val="left" w:pos="1980"/>
        </w:tabs>
        <w:ind w:left="990" w:hanging="990"/>
        <w:rPr>
          <w:sz w:val="20"/>
        </w:rPr>
      </w:pPr>
      <w:r>
        <w:rPr>
          <w:sz w:val="20"/>
        </w:rPr>
        <w:t>RCW</w:t>
      </w:r>
      <w:r w:rsidR="00BC2779">
        <w:rPr>
          <w:sz w:val="20"/>
        </w:rPr>
        <w:t xml:space="preserve"> 28A.225.300</w:t>
      </w:r>
      <w:r w:rsidR="00BC2779">
        <w:rPr>
          <w:sz w:val="20"/>
        </w:rPr>
        <w:tab/>
      </w:r>
      <w:r>
        <w:rPr>
          <w:sz w:val="20"/>
        </w:rPr>
        <w:t>Enrollment options information to parents</w:t>
      </w:r>
    </w:p>
    <w:p w:rsidR="0033111B" w:rsidRDefault="0033111B">
      <w:pPr>
        <w:pStyle w:val="BodyText"/>
        <w:jc w:val="both"/>
      </w:pPr>
    </w:p>
    <w:p w:rsidR="0033111B" w:rsidRDefault="0033111B">
      <w:pPr>
        <w:pStyle w:val="BodyText"/>
        <w:jc w:val="both"/>
      </w:pPr>
    </w:p>
    <w:p w:rsidR="0033111B" w:rsidRDefault="0033111B">
      <w:pPr>
        <w:pStyle w:val="BodyText"/>
        <w:jc w:val="both"/>
      </w:pPr>
      <w:r>
        <w:t xml:space="preserve">Adoption Date: </w:t>
      </w:r>
      <w:r>
        <w:rPr>
          <w:u w:val="single"/>
        </w:rPr>
        <w:t>April 24, 1985</w:t>
      </w:r>
    </w:p>
    <w:p w:rsidR="0033111B" w:rsidRDefault="0033111B">
      <w:pPr>
        <w:rPr>
          <w:u w:val="single"/>
        </w:rPr>
      </w:pPr>
      <w:r>
        <w:t xml:space="preserve">Revised: </w:t>
      </w:r>
      <w:r>
        <w:rPr>
          <w:u w:val="single"/>
        </w:rPr>
        <w:t>May 23, 1990</w:t>
      </w:r>
    </w:p>
    <w:p w:rsidR="0033111B" w:rsidRDefault="0033111B">
      <w:pPr>
        <w:rPr>
          <w:u w:val="single"/>
        </w:rPr>
      </w:pPr>
      <w:r>
        <w:t xml:space="preserve">Revised: </w:t>
      </w:r>
      <w:r>
        <w:rPr>
          <w:u w:val="single"/>
        </w:rPr>
        <w:t>May 23, 2001</w:t>
      </w:r>
    </w:p>
    <w:p w:rsidR="0033111B" w:rsidRDefault="0033111B">
      <w:pPr>
        <w:rPr>
          <w:u w:val="single"/>
        </w:rPr>
      </w:pPr>
      <w:r>
        <w:t xml:space="preserve">Revised: </w:t>
      </w:r>
      <w:r>
        <w:rPr>
          <w:u w:val="single"/>
        </w:rPr>
        <w:t>November 28, 2001</w:t>
      </w:r>
    </w:p>
    <w:p w:rsidR="0033111B" w:rsidRDefault="0033111B">
      <w:pPr>
        <w:pStyle w:val="Heading1"/>
        <w:rPr>
          <w:b w:val="0"/>
          <w:bCs w:val="0"/>
          <w:u w:val="single"/>
        </w:rPr>
      </w:pPr>
      <w:r>
        <w:rPr>
          <w:b w:val="0"/>
          <w:bCs w:val="0"/>
        </w:rPr>
        <w:t xml:space="preserve">Revised: </w:t>
      </w:r>
      <w:r>
        <w:rPr>
          <w:b w:val="0"/>
          <w:bCs w:val="0"/>
          <w:u w:val="single"/>
        </w:rPr>
        <w:t>January 28, 2004</w:t>
      </w:r>
    </w:p>
    <w:p w:rsidR="00721DD7" w:rsidRDefault="00721DD7" w:rsidP="00BC2779">
      <w:pPr>
        <w:rPr>
          <w:u w:val="single"/>
        </w:rPr>
      </w:pPr>
      <w:r>
        <w:t xml:space="preserve">Revised: </w:t>
      </w:r>
      <w:r w:rsidR="000F0630" w:rsidRPr="000F0630">
        <w:rPr>
          <w:u w:val="single"/>
        </w:rPr>
        <w:t>November 13, 2013</w:t>
      </w:r>
    </w:p>
    <w:p w:rsidR="000F0630" w:rsidRDefault="000F0630" w:rsidP="00BC2779">
      <w:pPr>
        <w:rPr>
          <w:u w:val="single"/>
        </w:rPr>
      </w:pPr>
    </w:p>
    <w:p w:rsidR="000F0630" w:rsidRDefault="000F0630" w:rsidP="00BC2779"/>
    <w:p w:rsidR="00721DD7" w:rsidRPr="00BC2779" w:rsidRDefault="00721DD7" w:rsidP="00BC2779">
      <w:pPr>
        <w:jc w:val="right"/>
        <w:rPr>
          <w:b/>
          <w:bCs/>
          <w:i/>
        </w:rPr>
      </w:pPr>
      <w:r w:rsidRPr="00BC2779">
        <w:rPr>
          <w:i/>
        </w:rPr>
        <w:t>Central Kitsap School District</w:t>
      </w:r>
    </w:p>
    <w:sectPr w:rsidR="00721DD7" w:rsidRPr="00BC2779" w:rsidSect="00BC2779">
      <w:pgSz w:w="12240" w:h="15840"/>
      <w:pgMar w:top="1008" w:right="1296"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63AC3"/>
    <w:multiLevelType w:val="singleLevel"/>
    <w:tmpl w:val="E682C062"/>
    <w:lvl w:ilvl="0">
      <w:start w:val="1"/>
      <w:numFmt w:val="upperLetter"/>
      <w:lvlText w:val="%1."/>
      <w:lvlJc w:val="left"/>
      <w:pPr>
        <w:tabs>
          <w:tab w:val="num" w:pos="720"/>
        </w:tabs>
        <w:ind w:left="720" w:hanging="720"/>
      </w:pPr>
      <w:rPr>
        <w:rFonts w:cs="Times New Roman"/>
        <w:b w:val="0"/>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1B"/>
    <w:rsid w:val="000F0630"/>
    <w:rsid w:val="002F17A1"/>
    <w:rsid w:val="0033111B"/>
    <w:rsid w:val="003D4966"/>
    <w:rsid w:val="00541BDB"/>
    <w:rsid w:val="006417A3"/>
    <w:rsid w:val="00704194"/>
    <w:rsid w:val="007054F9"/>
    <w:rsid w:val="00721DD7"/>
    <w:rsid w:val="00723C31"/>
    <w:rsid w:val="00942B3F"/>
    <w:rsid w:val="009B1896"/>
    <w:rsid w:val="00AF494B"/>
    <w:rsid w:val="00BC2779"/>
    <w:rsid w:val="00C848B9"/>
    <w:rsid w:val="00E53337"/>
    <w:rsid w:val="00EF0C74"/>
    <w:rsid w:val="00F1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Old Style" w:hAnsi="Bookman Old Style"/>
      <w:sz w:val="24"/>
    </w:rPr>
  </w:style>
  <w:style w:type="paragraph" w:styleId="Heading1">
    <w:name w:val="heading 1"/>
    <w:basedOn w:val="Normal"/>
    <w:next w:val="Normal"/>
    <w:link w:val="Heading1Char"/>
    <w:uiPriority w:val="9"/>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11B"/>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rsid w:val="0033111B"/>
    <w:rPr>
      <w:rFonts w:ascii="Bookman Old Style" w:hAnsi="Bookman Old Style"/>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Old Style" w:hAnsi="Bookman Old Style"/>
      <w:sz w:val="24"/>
    </w:rPr>
  </w:style>
  <w:style w:type="paragraph" w:styleId="Heading1">
    <w:name w:val="heading 1"/>
    <w:basedOn w:val="Normal"/>
    <w:next w:val="Normal"/>
    <w:link w:val="Heading1Char"/>
    <w:uiPriority w:val="9"/>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11B"/>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rsid w:val="0033111B"/>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843345">
      <w:bodyDiv w:val="1"/>
      <w:marLeft w:val="0"/>
      <w:marRight w:val="0"/>
      <w:marTop w:val="0"/>
      <w:marBottom w:val="0"/>
      <w:divBdr>
        <w:top w:val="none" w:sz="0" w:space="0" w:color="auto"/>
        <w:left w:val="none" w:sz="0" w:space="0" w:color="auto"/>
        <w:bottom w:val="none" w:sz="0" w:space="0" w:color="auto"/>
        <w:right w:val="none" w:sz="0" w:space="0" w:color="auto"/>
      </w:divBdr>
      <w:divsChild>
        <w:div w:id="1764186934">
          <w:marLeft w:val="150"/>
          <w:marRight w:val="150"/>
          <w:marTop w:val="100"/>
          <w:marBottom w:val="100"/>
          <w:divBdr>
            <w:top w:val="single" w:sz="6" w:space="8" w:color="FFFFFF"/>
            <w:left w:val="single" w:sz="6" w:space="8" w:color="FFFFFF"/>
            <w:bottom w:val="single" w:sz="6" w:space="8" w:color="FFFFFF"/>
            <w:right w:val="single" w:sz="6" w:space="8" w:color="FFFFFF"/>
          </w:divBdr>
          <w:divsChild>
            <w:div w:id="715814970">
              <w:marLeft w:val="-4125"/>
              <w:marRight w:val="0"/>
              <w:marTop w:val="0"/>
              <w:marBottom w:val="0"/>
              <w:divBdr>
                <w:top w:val="none" w:sz="0" w:space="0" w:color="auto"/>
                <w:left w:val="none" w:sz="0" w:space="0" w:color="auto"/>
                <w:bottom w:val="none" w:sz="0" w:space="0" w:color="auto"/>
                <w:right w:val="none" w:sz="0" w:space="0" w:color="auto"/>
              </w:divBdr>
              <w:divsChild>
                <w:div w:id="495337978">
                  <w:marLeft w:val="4275"/>
                  <w:marRight w:val="0"/>
                  <w:marTop w:val="0"/>
                  <w:marBottom w:val="0"/>
                  <w:divBdr>
                    <w:top w:val="none" w:sz="0" w:space="0" w:color="auto"/>
                    <w:left w:val="none" w:sz="0" w:space="0" w:color="auto"/>
                    <w:bottom w:val="none" w:sz="0" w:space="0" w:color="auto"/>
                    <w:right w:val="none" w:sz="0" w:space="0" w:color="auto"/>
                  </w:divBdr>
                  <w:divsChild>
                    <w:div w:id="780340582">
                      <w:marLeft w:val="0"/>
                      <w:marRight w:val="0"/>
                      <w:marTop w:val="0"/>
                      <w:marBottom w:val="0"/>
                      <w:divBdr>
                        <w:top w:val="none" w:sz="0" w:space="0" w:color="auto"/>
                        <w:left w:val="none" w:sz="0" w:space="0" w:color="auto"/>
                        <w:bottom w:val="none" w:sz="0" w:space="0" w:color="auto"/>
                        <w:right w:val="none" w:sz="0" w:space="0" w:color="auto"/>
                      </w:divBdr>
                      <w:divsChild>
                        <w:div w:id="584581785">
                          <w:marLeft w:val="0"/>
                          <w:marRight w:val="0"/>
                          <w:marTop w:val="0"/>
                          <w:marBottom w:val="0"/>
                          <w:divBdr>
                            <w:top w:val="none" w:sz="0" w:space="0" w:color="auto"/>
                            <w:left w:val="none" w:sz="0" w:space="0" w:color="auto"/>
                            <w:bottom w:val="none" w:sz="0" w:space="0" w:color="auto"/>
                            <w:right w:val="none" w:sz="0" w:space="0" w:color="auto"/>
                          </w:divBdr>
                          <w:divsChild>
                            <w:div w:id="1544443277">
                              <w:marLeft w:val="0"/>
                              <w:marRight w:val="0"/>
                              <w:marTop w:val="0"/>
                              <w:marBottom w:val="0"/>
                              <w:divBdr>
                                <w:top w:val="none" w:sz="0" w:space="0" w:color="auto"/>
                                <w:left w:val="none" w:sz="0" w:space="0" w:color="auto"/>
                                <w:bottom w:val="none" w:sz="0" w:space="0" w:color="auto"/>
                                <w:right w:val="none" w:sz="0" w:space="0" w:color="auto"/>
                              </w:divBdr>
                              <w:divsChild>
                                <w:div w:id="599023738">
                                  <w:marLeft w:val="150"/>
                                  <w:marRight w:val="0"/>
                                  <w:marTop w:val="75"/>
                                  <w:marBottom w:val="75"/>
                                  <w:divBdr>
                                    <w:top w:val="single" w:sz="2" w:space="0" w:color="BBBBBB"/>
                                    <w:left w:val="single" w:sz="2" w:space="0" w:color="BBBBBB"/>
                                    <w:bottom w:val="single" w:sz="2" w:space="0" w:color="BBBBBB"/>
                                    <w:right w:val="single" w:sz="2" w:space="0" w:color="BBBBBB"/>
                                  </w:divBdr>
                                  <w:divsChild>
                                    <w:div w:id="1884519549">
                                      <w:marLeft w:val="0"/>
                                      <w:marRight w:val="0"/>
                                      <w:marTop w:val="0"/>
                                      <w:marBottom w:val="0"/>
                                      <w:divBdr>
                                        <w:top w:val="none" w:sz="0" w:space="0" w:color="auto"/>
                                        <w:left w:val="none" w:sz="0" w:space="0" w:color="auto"/>
                                        <w:bottom w:val="none" w:sz="0" w:space="0" w:color="auto"/>
                                        <w:right w:val="none" w:sz="0" w:space="0" w:color="auto"/>
                                      </w:divBdr>
                                    </w:div>
                                    <w:div w:id="1847940888">
                                      <w:marLeft w:val="0"/>
                                      <w:marRight w:val="0"/>
                                      <w:marTop w:val="0"/>
                                      <w:marBottom w:val="0"/>
                                      <w:divBdr>
                                        <w:top w:val="none" w:sz="0" w:space="0" w:color="auto"/>
                                        <w:left w:val="none" w:sz="0" w:space="0" w:color="auto"/>
                                        <w:bottom w:val="none" w:sz="0" w:space="0" w:color="auto"/>
                                        <w:right w:val="none" w:sz="0" w:space="0" w:color="auto"/>
                                      </w:divBdr>
                                    </w:div>
                                    <w:div w:id="1337344455">
                                      <w:marLeft w:val="0"/>
                                      <w:marRight w:val="0"/>
                                      <w:marTop w:val="0"/>
                                      <w:marBottom w:val="0"/>
                                      <w:divBdr>
                                        <w:top w:val="none" w:sz="0" w:space="0" w:color="auto"/>
                                        <w:left w:val="none" w:sz="0" w:space="0" w:color="auto"/>
                                        <w:bottom w:val="none" w:sz="0" w:space="0" w:color="auto"/>
                                        <w:right w:val="none" w:sz="0" w:space="0" w:color="auto"/>
                                      </w:divBdr>
                                    </w:div>
                                    <w:div w:id="235288544">
                                      <w:marLeft w:val="0"/>
                                      <w:marRight w:val="0"/>
                                      <w:marTop w:val="0"/>
                                      <w:marBottom w:val="0"/>
                                      <w:divBdr>
                                        <w:top w:val="none" w:sz="0" w:space="0" w:color="auto"/>
                                        <w:left w:val="none" w:sz="0" w:space="0" w:color="auto"/>
                                        <w:bottom w:val="none" w:sz="0" w:space="0" w:color="auto"/>
                                        <w:right w:val="none" w:sz="0" w:space="0" w:color="auto"/>
                                      </w:divBdr>
                                    </w:div>
                                    <w:div w:id="3439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586</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3140</vt:lpstr>
    </vt:vector>
  </TitlesOfParts>
  <Company>CK SCHOOLS</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3140</dc:title>
  <dc:creator>helenc</dc:creator>
  <cp:lastModifiedBy>Moon Kristi - ADMIN</cp:lastModifiedBy>
  <cp:revision>4</cp:revision>
  <cp:lastPrinted>2013-12-03T18:41:00Z</cp:lastPrinted>
  <dcterms:created xsi:type="dcterms:W3CDTF">2013-12-03T20:18:00Z</dcterms:created>
  <dcterms:modified xsi:type="dcterms:W3CDTF">2016-01-27T19:26:00Z</dcterms:modified>
</cp:coreProperties>
</file>